
<file path=[Content_Types].xml><?xml version="1.0" encoding="utf-8"?>
<Types xmlns="http://schemas.openxmlformats.org/package/2006/content-types">
  <Default ContentType="application/x-font-ttf" Extension="eot"/>
  <Default ContentType="image/gif" Extension="gif"/>
  <Default ContentType="image/jpeg" Extension="jpeg"/>
  <Default ContentType="image/jpeg" Extension="jpg"/>
  <Default ContentType="application/x-font-ttf" Extension="otf"/>
  <Default ContentType="image/png" Extension="png"/>
  <Default ContentType="application/vnd.openxmlformats-package.relationships+xml" Extension="rels"/>
  <Default ContentType="image/tiff" Extension="tiff"/>
  <Default ContentType="application/x-font-ttf" Extension="ttf"/>
  <Default ContentType="image/webp" Extension="web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1092200"/>
                  <wp:effectExtent l="0" t="0" r="0" b="0"/>
                  <wp:wrapNone/>
                  <wp:docPr id="1822104486" name="Picture">
</wp:docPr>
                  <a:graphic>
                    <a:graphicData uri="http://schemas.openxmlformats.org/drawingml/2006/picture">
                      <pic:pic>
                        <pic:nvPicPr>
                          <pic:cNvPr id="1822104486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75894873" name="Picture">
</wp:docPr>
                  <a:graphic>
                    <a:graphicData uri="http://schemas.openxmlformats.org/drawingml/2006/picture">
                      <pic:pic>
                        <pic:nvPicPr>
                          <pic:cNvPr id="975894873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 l="0" t="0" r="0" b="1000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ОБЩЕСТВО С ОГРАНИЧЕННОЙ ОТВЕТСТВЕННОСТЬЮ "КОВЭЙ РУС", Место нахождения: 108840, РОССИЯ,  Г.МОСКВА, ГОРОДСКОЙ ОКРУГ ТРОИЦК вн. тер. г., Г ТРОИЦК,   Б-Р СИРЕНЕВЫЙ, Д. 1, К. 1 , ОФИС   10      , ОГРН: 1227700875710, Номер телефона: +7 9266760789, Адрес электронной почты: s2s@mail.ru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ГЕНЕРАЛЬНЫЙ ДИРЕКТОР СИДНЕВ ВИКТОР ВЛАДИМИРОВИЧ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Источники бесперебойного питания, модели: PowerBox i1, PowerBox i3, PowerBox i5, PowerBox i10, Coway PowerBox i1/0.9, Coway PowerBox i3/1.2, PowerUnit i1, PowerUnit i3, PowerUnit i5, PowerUnit i10, PowerUnit е1, PowerUnit е3, PowerUnit е5, PowerUnit е10, Coway PowerUnit i1/0.6, Coway PowerUnit i3/0.9, торговая марка "Coway"</w:t>
              <w:br/>
            </w: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«Coway International TechTrans Co., Ltd.», Место нахождения: КИТАЙ, ROOM 701B, 7/F, BUILDING B, SP TOWER, TSINGHUA SCIENCE PARK, HAIDIAN DISTRICT, BEIJING, 100084, Адрес места осуществления деятельности по изготовлению продукции: КИТАЙ, ROOM 701B, 7/F, BUILDING B, SP TOWER, TSINGHUA SCIENCE PARK, HAIDIAN DISTRICT, BEIJING, 100084</w:t>
              <w:br/>
              <w:t xml:space="preserve">Коды ТН ВЭД ЕАЭС: 850440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ЕАЭС 037/2016 Об ограничении применения опасных веществ в изделиях электротехники и радиоэлектроники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04.17.М.04.42  выдан 17.12.2024  испытательной лабораторией "Общество с ограниченной ответственностью «ИССА», аттестат аккредитации РОСС КС.32248.04СЕЛ0.1.25";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Стандарты и иные нормативные документы:; Условия и сроки хранения: Условия хранения продукции в соответствии с ГОСТ 15150-69 "Машины,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среды". Срок хранения (службы, годности) указан в прилагаемой к продукции товаросопроводительной и/или эксплуатационной документации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16.12.2027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СИДНЕВ ВИКТОР ВЛАДИМИРОВИЧ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Д-CN.РА11.В.57013/24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18.12.2024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 standalone="yes"?><Relationships xmlns="http://schemas.openxmlformats.org/package/2006/relationships"><Relationship Id="img_0_0_1.png" Target="media/img_0_0_1.png" Type="http://schemas.openxmlformats.org/officeDocument/2006/relationships/image"/><Relationship Id="img_0_0_3.png" Target="media/img_0_0_3.png" Type="http://schemas.openxmlformats.org/officeDocument/2006/relationships/image"/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ntTable.xml" Type="http://schemas.openxmlformats.org/officeDocument/2006/relationships/fontTable"/></Relationships>
</file>

<file path=docProps/app.xml><?xml version="1.0" encoding="utf-8"?>
<Properties xmlns="http://schemas.openxmlformats.org/officeDocument/2006/extended-properties">
  <Application>JasperReports Library version 6.21.2-8434a0bd7c3bbc37cbf916f2968d35e4b165821a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